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/>
          <w:b w:val="0"/>
          <w:i w:val="0"/>
          <w:color w:val="auto"/>
        </w:rPr>
        <w:t>上郡町環境保全広域組織広域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協定の活動組織の運営に関する内規（案）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令和○年４月１日施行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（目的）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第１条　</w:t>
      </w:r>
      <w:r>
        <w:rPr>
          <w:rFonts w:hint="eastAsia"/>
          <w:b w:val="0"/>
          <w:i w:val="0"/>
          <w:color w:val="auto"/>
        </w:rPr>
        <w:t>上郡町環境保全広域組織広域協定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（以下「広域組織」という。）に参加する集落での組織運営等に関し、</w:t>
      </w:r>
      <w:r>
        <w:rPr>
          <w:rFonts w:hint="eastAsia"/>
          <w:b w:val="0"/>
          <w:i w:val="0"/>
          <w:color w:val="auto"/>
        </w:rPr>
        <w:t>上郡町環境保全広域組織広域協定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、</w:t>
      </w:r>
      <w:r>
        <w:rPr>
          <w:rFonts w:hint="eastAsia" w:ascii="ＭＳ 明朝" w:hAnsi="ＭＳ 明朝" w:eastAsia="ＭＳ 明朝"/>
          <w:color w:val="auto"/>
          <w:sz w:val="24"/>
        </w:rPr>
        <w:t>上郡町環境保全広域組織運営規則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及び上郡町</w:t>
      </w:r>
      <w:r>
        <w:rPr>
          <w:rFonts w:hint="eastAsia"/>
          <w:b w:val="0"/>
          <w:i w:val="0"/>
          <w:color w:val="auto"/>
        </w:rPr>
        <w:t>環境保全広域組織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運営細則</w:t>
      </w:r>
      <w:r>
        <w:rPr>
          <w:rFonts w:hint="eastAsia" w:ascii="ＭＳ 明朝" w:hAnsi="ＭＳ 明朝" w:eastAsia="ＭＳ 明朝"/>
          <w:color w:val="auto"/>
          <w:sz w:val="24"/>
        </w:rPr>
        <w:t>で定めるもののほか、この内規に定めるところによる。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59055</wp:posOffset>
                </wp:positionV>
                <wp:extent cx="2541905" cy="335280"/>
                <wp:effectExtent l="474345" t="635" r="29845" b="131445"/>
                <wp:wrapNone/>
                <wp:docPr id="1026" name="線吹き出し 1 (枠付き)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線吹き出し 1 (枠付き) 1"/>
                      <wps:cNvSpPr/>
                      <wps:spPr>
                        <a:xfrm>
                          <a:off x="0" y="0"/>
                          <a:ext cx="2541905" cy="335280"/>
                        </a:xfrm>
                        <a:prstGeom prst="borderCallout1">
                          <a:avLst>
                            <a:gd name="adj1" fmla="val 48551"/>
                            <a:gd name="adj2" fmla="val -2014"/>
                            <a:gd name="adj3" fmla="val 135925"/>
                            <a:gd name="adj4" fmla="val -18642"/>
                          </a:avLst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各地区組織の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名称等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とする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style="mso-wrap-distance-right:9pt;mso-wrap-distance-bottom:0pt;margin-top:4.6500000000000004pt;mso-position-vertical-relative:text;mso-position-horizontal-relative:text;v-text-anchor:middle;position:absolute;height:26.4pt;mso-wrap-distance-top:0pt;width:200.15pt;mso-wrap-distance-left:9pt;margin-left:210.45pt;z-index:2;" o:spid="_x0000_s1026" o:allowincell="t" o:allowoverlap="t" filled="f" stroked="t" strokecolor="#c00000" strokeweight="1pt" o:spt="47" type="#_x0000_t47" adj="-4027,29360,-435,10487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C0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各地区組織の</w:t>
                      </w:r>
                      <w:r>
                        <w:rPr>
                          <w:rFonts w:hint="default"/>
                          <w:color w:val="FF0000"/>
                        </w:rPr>
                        <w:t>名称等</w:t>
                      </w:r>
                      <w:r>
                        <w:rPr>
                          <w:rFonts w:hint="eastAsia"/>
                          <w:color w:val="FF0000"/>
                        </w:rPr>
                        <w:t>とする</w:t>
                      </w:r>
                      <w:r>
                        <w:rPr>
                          <w:rFonts w:hint="default"/>
                          <w:color w:val="FF0000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（名称）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第２条　本組織の名称を「●●●●●」（以下「活動組織」という。）とする。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（役員の選出）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第３条　活動組織に次の役員を置く。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4445</wp:posOffset>
                </wp:positionV>
                <wp:extent cx="2524125" cy="306705"/>
                <wp:effectExtent l="365125" t="635" r="29845" b="19685"/>
                <wp:wrapNone/>
                <wp:docPr id="1027" name="線吹き出し 1 (枠付き)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線吹き出し 1 (枠付き) 2"/>
                      <wps:cNvSpPr/>
                      <wps:spPr>
                        <a:xfrm>
                          <a:off x="0" y="0"/>
                          <a:ext cx="2524125" cy="306705"/>
                        </a:xfrm>
                        <a:prstGeom prst="borderCallout1">
                          <a:avLst>
                            <a:gd name="adj1" fmla="val 48551"/>
                            <a:gd name="adj2" fmla="val -2014"/>
                            <a:gd name="adj3" fmla="val 102813"/>
                            <a:gd name="adj4" fmla="val -14439"/>
                          </a:avLst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必要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応じ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設定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してくだ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style="mso-wrap-distance-right:9pt;mso-wrap-distance-bottom:0pt;margin-top:0.35pt;mso-position-vertical-relative:text;mso-position-horizontal-relative:text;v-text-anchor:middle;position:absolute;height:24.15pt;mso-wrap-distance-top:0pt;width:198.75pt;mso-wrap-distance-left:9pt;margin-left:126.75pt;z-index:3;" o:spid="_x0000_s1027" o:allowincell="t" o:allowoverlap="t" filled="f" stroked="t" strokecolor="#c00000" strokeweight="1pt" o:spt="47" type="#_x0000_t47" adj="-3119,22208,-435,10487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C0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必要</w:t>
                      </w:r>
                      <w:r>
                        <w:rPr>
                          <w:rFonts w:hint="default"/>
                          <w:color w:val="FF000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</w:rPr>
                        <w:t>応じ</w:t>
                      </w:r>
                      <w:r>
                        <w:rPr>
                          <w:rFonts w:hint="default"/>
                          <w:color w:val="FF0000"/>
                        </w:rPr>
                        <w:t>設定</w:t>
                      </w:r>
                      <w:r>
                        <w:rPr>
                          <w:rFonts w:hint="eastAsia"/>
                          <w:color w:val="FF0000"/>
                        </w:rPr>
                        <w:t>してくだ</w:t>
                      </w:r>
                      <w:r>
                        <w:rPr>
                          <w:rFonts w:hint="default"/>
                          <w:color w:val="FF0000"/>
                        </w:rPr>
                        <w:t>さい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>(1)</w:t>
      </w:r>
      <w:r>
        <w:rPr>
          <w:rFonts w:hint="eastAsia" w:ascii="ＭＳ 明朝" w:hAnsi="ＭＳ 明朝" w:eastAsia="ＭＳ 明朝"/>
          <w:color w:val="auto"/>
          <w:sz w:val="24"/>
        </w:rPr>
        <w:t>　代表　　１名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3852545</wp:posOffset>
                </wp:positionH>
                <wp:positionV relativeFrom="paragraph">
                  <wp:posOffset>67945</wp:posOffset>
                </wp:positionV>
                <wp:extent cx="2419350" cy="857250"/>
                <wp:effectExtent l="635" t="635" r="29845" b="598805"/>
                <wp:wrapNone/>
                <wp:docPr id="1028" name="線吹き出し 1 (枠付き)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線吹き出し 1 (枠付き) 6"/>
                      <wps:cNvSpPr/>
                      <wps:spPr>
                        <a:xfrm>
                          <a:off x="0" y="0"/>
                          <a:ext cx="2419350" cy="857250"/>
                        </a:xfrm>
                        <a:prstGeom prst="borderCallout1">
                          <a:avLst>
                            <a:gd name="adj1" fmla="val 104158"/>
                            <a:gd name="adj2" fmla="val 8545"/>
                            <a:gd name="adj3" fmla="val 168603"/>
                            <a:gd name="adj4" fmla="val 16025"/>
                          </a:avLst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原則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、代表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としますが、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他の役員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と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する場合は、その役職の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箇所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記載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くだ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6" style="mso-wrap-distance-right:9pt;mso-wrap-distance-bottom:0pt;margin-top:5.35pt;mso-position-vertical-relative:text;mso-position-horizontal-relative:text;v-text-anchor:middle;position:absolute;height:67.5pt;mso-wrap-distance-top:0pt;width:190.5pt;mso-wrap-distance-left:9pt;margin-left:303.35000000000002pt;z-index:5;" o:spid="_x0000_s1028" o:allowincell="t" o:allowoverlap="t" filled="f" stroked="t" strokecolor="#c00000" strokeweight="1pt" o:spt="47" type="#_x0000_t47" adj="3461,36418,1846,22498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color w:val="C0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原則</w:t>
                      </w:r>
                      <w:r>
                        <w:rPr>
                          <w:rFonts w:hint="default"/>
                          <w:color w:val="FF0000"/>
                        </w:rPr>
                        <w:t>、代表</w:t>
                      </w:r>
                      <w:r>
                        <w:rPr>
                          <w:rFonts w:hint="eastAsia"/>
                          <w:color w:val="FF0000"/>
                        </w:rPr>
                        <w:t>としますが、</w:t>
                      </w:r>
                      <w:r>
                        <w:rPr>
                          <w:rFonts w:hint="default"/>
                          <w:color w:val="FF0000"/>
                        </w:rPr>
                        <w:t>他の役員</w:t>
                      </w:r>
                      <w:r>
                        <w:rPr>
                          <w:rFonts w:hint="eastAsia"/>
                          <w:color w:val="FF0000"/>
                        </w:rPr>
                        <w:t>と</w:t>
                      </w:r>
                      <w:r>
                        <w:rPr>
                          <w:rFonts w:hint="default"/>
                          <w:color w:val="FF0000"/>
                        </w:rPr>
                        <w:t>する場合は、その役職の</w:t>
                      </w:r>
                      <w:r>
                        <w:rPr>
                          <w:rFonts w:hint="eastAsia"/>
                          <w:color w:val="FF0000"/>
                        </w:rPr>
                        <w:t>箇所</w:t>
                      </w:r>
                      <w:r>
                        <w:rPr>
                          <w:rFonts w:hint="default"/>
                          <w:color w:val="FF000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</w:rPr>
                        <w:t>記載</w:t>
                      </w:r>
                      <w:r>
                        <w:rPr>
                          <w:rFonts w:hint="default"/>
                          <w:color w:val="FF0000"/>
                        </w:rPr>
                        <w:t>して</w:t>
                      </w:r>
                      <w:r>
                        <w:rPr>
                          <w:rFonts w:hint="eastAsia"/>
                          <w:color w:val="FF0000"/>
                        </w:rPr>
                        <w:t>くだ</w:t>
                      </w:r>
                      <w:r>
                        <w:rPr>
                          <w:rFonts w:hint="default"/>
                          <w:color w:val="FF0000"/>
                        </w:rPr>
                        <w:t>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>(2)</w:t>
      </w: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副代表　●名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>(3)</w:t>
      </w: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書記　　●名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>(4)</w:t>
      </w: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会計　　●名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>(5)</w:t>
      </w: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監査　　●名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代表、副代表事は、構成員の互選により選出し、書記、会計、監査は、代表が指名する。</w:t>
      </w:r>
    </w:p>
    <w:p>
      <w:pPr>
        <w:pStyle w:val="0"/>
        <w:ind w:left="259" w:hanging="259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３　代表は、活動組織を代表し、活動組織の運営を総括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し、広域組織の代議員と</w:t>
      </w:r>
      <w:r>
        <w:rPr>
          <w:rFonts w:hint="eastAsia" w:ascii="ＭＳ 明朝" w:hAnsi="ＭＳ 明朝" w:eastAsia="ＭＳ 明朝"/>
          <w:color w:val="auto"/>
          <w:sz w:val="24"/>
        </w:rPr>
        <w:t>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４　副代表は、代表に事故があるときにこれを代理する。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５　書記は、活動組織等の事務に関する業務を処理する。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６　会計は、活動組織等の会計に関する業務を処理する。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７　監査は、事務及び会計の監査業務を処理する。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3175</wp:posOffset>
                </wp:positionV>
                <wp:extent cx="2671445" cy="335280"/>
                <wp:effectExtent l="667385" t="635" r="29845" b="120015"/>
                <wp:wrapNone/>
                <wp:docPr id="1029" name="線吹き出し 1 (枠付き)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線吹き出し 1 (枠付き) 3"/>
                      <wps:cNvSpPr/>
                      <wps:spPr>
                        <a:xfrm>
                          <a:off x="0" y="0"/>
                          <a:ext cx="2671445" cy="335280"/>
                        </a:xfrm>
                        <a:prstGeom prst="borderCallout1">
                          <a:avLst>
                            <a:gd name="adj1" fmla="val 48551"/>
                            <a:gd name="adj2" fmla="val -2014"/>
                            <a:gd name="adj3" fmla="val 132614"/>
                            <a:gd name="adj4" fmla="val -24976"/>
                          </a:avLst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C00000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24"/>
                              </w:rPr>
                              <w:t>活動組織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設定してください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style="mso-wrap-distance-right:9pt;mso-wrap-distance-bottom:0pt;margin-top:0.25pt;mso-position-vertical-relative:text;mso-position-horizontal-relative:text;v-text-anchor:middle;position:absolute;height:26.4pt;mso-wrap-distance-top:0pt;width:210.35pt;mso-wrap-distance-left:9pt;margin-left:205.1pt;z-index:4;" o:spid="_x0000_s1029" o:allowincell="t" o:allowoverlap="t" filled="f" stroked="t" strokecolor="#c00000" strokeweight="1pt" o:spt="47" type="#_x0000_t47" adj="-5395,28645,-435,10487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C00000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FF0000"/>
                          <w:sz w:val="24"/>
                        </w:rPr>
                        <w:t>活動組織</w:t>
                      </w:r>
                      <w:r>
                        <w:rPr>
                          <w:rFonts w:hint="default"/>
                          <w:color w:val="FF0000"/>
                        </w:rPr>
                        <w:t>で</w:t>
                      </w:r>
                      <w:r>
                        <w:rPr>
                          <w:rFonts w:hint="eastAsia"/>
                          <w:color w:val="FF0000"/>
                        </w:rPr>
                        <w:t>設定してください</w:t>
                      </w:r>
                      <w:r>
                        <w:rPr>
                          <w:rFonts w:hint="default"/>
                          <w:color w:val="FF0000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（役員の任期）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第４条　役員の任期は、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１</w:t>
      </w:r>
      <w:r>
        <w:rPr>
          <w:rFonts w:hint="eastAsia" w:ascii="ＭＳ 明朝" w:hAnsi="ＭＳ 明朝" w:eastAsia="ＭＳ 明朝"/>
          <w:color w:val="auto"/>
          <w:sz w:val="24"/>
        </w:rPr>
        <w:t>年とする。だたし、再任は妨げない。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補欠または増員による任期は、前任者または現任者の残任期間とする。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95885</wp:posOffset>
                </wp:positionV>
                <wp:extent cx="2609850" cy="287655"/>
                <wp:effectExtent l="335915" t="635" r="29845" b="66675"/>
                <wp:wrapNone/>
                <wp:docPr id="1030" name="線吹き出し 1 (枠付き) 7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線吹き出し 1 (枠付き) 7"/>
                      <wps:cNvSpPr/>
                      <wps:spPr>
                        <a:xfrm>
                          <a:off x="0" y="0"/>
                          <a:ext cx="2609850" cy="287655"/>
                        </a:xfrm>
                        <a:prstGeom prst="borderCallout1">
                          <a:avLst>
                            <a:gd name="adj1" fmla="val 48551"/>
                            <a:gd name="adj2" fmla="val -2014"/>
                            <a:gd name="adj3" fmla="val 119369"/>
                            <a:gd name="adj4" fmla="val -12850"/>
                          </a:avLst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必要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応じ規定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くだ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7" style="mso-wrap-distance-right:9pt;mso-wrap-distance-bottom:0pt;margin-top:7.55pt;mso-position-vertical-relative:text;mso-position-horizontal-relative:text;v-text-anchor:middle;position:absolute;height:22.65pt;mso-wrap-distance-top:0pt;width:205.5pt;mso-wrap-distance-left:9pt;margin-left:205.1pt;z-index:6;" o:spid="_x0000_s1030" o:allowincell="t" o:allowoverlap="t" filled="f" stroked="t" strokecolor="#c00000" strokeweight="1pt" o:spt="47" type="#_x0000_t47" adj="-2776,25784,-435,10487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C0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必要</w:t>
                      </w:r>
                      <w:r>
                        <w:rPr>
                          <w:rFonts w:hint="default"/>
                          <w:color w:val="FF000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</w:rPr>
                        <w:t>応じ規定</w:t>
                      </w:r>
                      <w:r>
                        <w:rPr>
                          <w:rFonts w:hint="default"/>
                          <w:color w:val="FF0000"/>
                        </w:rPr>
                        <w:t>して</w:t>
                      </w:r>
                      <w:r>
                        <w:rPr>
                          <w:rFonts w:hint="eastAsia"/>
                          <w:color w:val="FF0000"/>
                        </w:rPr>
                        <w:t>くだ</w:t>
                      </w:r>
                      <w:r>
                        <w:rPr>
                          <w:rFonts w:hint="default"/>
                          <w:color w:val="FF0000"/>
                        </w:rPr>
                        <w:t>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（組織委員会の開催）</w:t>
      </w:r>
    </w:p>
    <w:p>
      <w:pPr>
        <w:pStyle w:val="0"/>
        <w:ind w:left="259" w:hanging="259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第５条　組織委員会は、毎年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１</w:t>
      </w:r>
      <w:r>
        <w:rPr>
          <w:rFonts w:hint="eastAsia" w:ascii="ＭＳ 明朝" w:hAnsi="ＭＳ 明朝" w:eastAsia="ＭＳ 明朝"/>
          <w:color w:val="auto"/>
          <w:sz w:val="24"/>
        </w:rPr>
        <w:t>回以上開催するとともに、次に掲げる場合に開催する。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(1)</w:t>
      </w:r>
      <w:r>
        <w:rPr>
          <w:rFonts w:hint="eastAsia" w:ascii="ＭＳ 明朝" w:hAnsi="ＭＳ 明朝" w:eastAsia="ＭＳ 明朝"/>
          <w:color w:val="auto"/>
          <w:sz w:val="24"/>
        </w:rPr>
        <w:t>　構成員の３分の１以上の要求があったとき。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(2)</w:t>
      </w:r>
      <w:r>
        <w:rPr>
          <w:rFonts w:hint="eastAsia" w:ascii="ＭＳ 明朝" w:hAnsi="ＭＳ 明朝" w:eastAsia="ＭＳ 明朝"/>
          <w:color w:val="auto"/>
          <w:sz w:val="24"/>
        </w:rPr>
        <w:t>　その他代表が必要と認めたとき。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（組織委員会の機能）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第６条　組織委員会は、この内規に定めるもののほか、次の各号に掲げる事項</w:t>
      </w: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273050</wp:posOffset>
                </wp:positionV>
                <wp:extent cx="2667000" cy="335280"/>
                <wp:effectExtent l="310515" t="635" r="29845" b="10795"/>
                <wp:wrapNone/>
                <wp:docPr id="1031" name="線吹き出し 1 (枠付き) 8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線吹き出し 1 (枠付き) 8"/>
                      <wps:cNvSpPr/>
                      <wps:spPr>
                        <a:xfrm>
                          <a:off x="0" y="0"/>
                          <a:ext cx="2667000" cy="335280"/>
                        </a:xfrm>
                        <a:prstGeom prst="borderCallout1">
                          <a:avLst>
                            <a:gd name="adj1" fmla="val 48551"/>
                            <a:gd name="adj2" fmla="val -2014"/>
                            <a:gd name="adj3" fmla="val 85903"/>
                            <a:gd name="adj4" fmla="val -11626"/>
                          </a:avLst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必要な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事項を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規定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くだ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8" style="mso-wrap-distance-right:9pt;mso-wrap-distance-bottom:0pt;margin-top:21.5pt;mso-position-vertical-relative:text;mso-position-horizontal-relative:text;v-text-anchor:middle;position:absolute;height:26.4pt;mso-wrap-distance-top:0pt;width:210pt;mso-wrap-distance-left:9pt;margin-left:283.85000000000002pt;z-index:7;" o:spid="_x0000_s1031" o:allowincell="t" o:allowoverlap="t" filled="f" stroked="t" strokecolor="#c00000" strokeweight="1pt" o:spt="47" type="#_x0000_t47" adj="-2511,18555,-435,10487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C0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必要な</w:t>
                      </w:r>
                      <w:r>
                        <w:rPr>
                          <w:rFonts w:hint="default"/>
                          <w:color w:val="FF0000"/>
                        </w:rPr>
                        <w:t>事項を</w:t>
                      </w:r>
                      <w:r>
                        <w:rPr>
                          <w:rFonts w:hint="eastAsia"/>
                          <w:color w:val="FF0000"/>
                        </w:rPr>
                        <w:t>規定</w:t>
                      </w:r>
                      <w:r>
                        <w:rPr>
                          <w:rFonts w:hint="default"/>
                          <w:color w:val="FF0000"/>
                        </w:rPr>
                        <w:t>して</w:t>
                      </w:r>
                      <w:r>
                        <w:rPr>
                          <w:rFonts w:hint="eastAsia"/>
                          <w:color w:val="FF0000"/>
                        </w:rPr>
                        <w:t>くだ</w:t>
                      </w:r>
                      <w:r>
                        <w:rPr>
                          <w:rFonts w:hint="default"/>
                          <w:color w:val="FF0000"/>
                        </w:rPr>
                        <w:t>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z w:val="24"/>
        </w:rPr>
        <w:t>を議決する。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>(1)</w:t>
      </w:r>
      <w:r>
        <w:rPr>
          <w:rFonts w:hint="eastAsia" w:ascii="ＭＳ 明朝" w:hAnsi="ＭＳ 明朝" w:eastAsia="ＭＳ 明朝"/>
          <w:color w:val="auto"/>
          <w:sz w:val="24"/>
        </w:rPr>
        <w:t>　広域組織運営委員会の議決事項の確認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>(2)</w:t>
      </w:r>
      <w:r>
        <w:rPr>
          <w:rFonts w:hint="eastAsia" w:ascii="ＭＳ 明朝" w:hAnsi="ＭＳ 明朝" w:eastAsia="ＭＳ 明朝"/>
          <w:color w:val="auto"/>
          <w:sz w:val="24"/>
        </w:rPr>
        <w:t>　活動組織の事業報告・収支決算に関すること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>(3)</w:t>
      </w:r>
      <w:r>
        <w:rPr>
          <w:rFonts w:hint="eastAsia" w:ascii="ＭＳ 明朝" w:hAnsi="ＭＳ 明朝" w:eastAsia="ＭＳ 明朝"/>
          <w:color w:val="auto"/>
          <w:sz w:val="24"/>
        </w:rPr>
        <w:t>　活動組織の事業計画・収支予算に関すること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>(4)</w:t>
      </w:r>
      <w:r>
        <w:rPr>
          <w:rFonts w:hint="eastAsia" w:ascii="ＭＳ 明朝" w:hAnsi="ＭＳ 明朝" w:eastAsia="ＭＳ 明朝"/>
          <w:color w:val="auto"/>
          <w:sz w:val="24"/>
        </w:rPr>
        <w:t>　内規の改廃に関すること</w:t>
      </w:r>
    </w:p>
    <w:p>
      <w:pPr>
        <w:pStyle w:val="0"/>
        <w:ind w:firstLine="259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(5)</w:t>
      </w:r>
      <w:r>
        <w:rPr>
          <w:rFonts w:hint="eastAsia" w:ascii="ＭＳ 明朝" w:hAnsi="ＭＳ 明朝" w:eastAsia="ＭＳ 明朝"/>
          <w:color w:val="auto"/>
          <w:sz w:val="24"/>
        </w:rPr>
        <w:t>　広域組織の脱会に関すること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242570</wp:posOffset>
                </wp:positionV>
                <wp:extent cx="2581275" cy="354330"/>
                <wp:effectExtent l="332105" t="635" r="29845" b="79375"/>
                <wp:wrapNone/>
                <wp:docPr id="1032" name="線吹き出し 1 (枠付き) 9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線吹き出し 1 (枠付き) 9"/>
                      <wps:cNvSpPr/>
                      <wps:spPr>
                        <a:xfrm>
                          <a:off x="0" y="0"/>
                          <a:ext cx="2581275" cy="354330"/>
                        </a:xfrm>
                        <a:prstGeom prst="borderCallout1">
                          <a:avLst>
                            <a:gd name="adj1" fmla="val 48551"/>
                            <a:gd name="adj2" fmla="val -2014"/>
                            <a:gd name="adj3" fmla="val 119369"/>
                            <a:gd name="adj4" fmla="val -12850"/>
                          </a:avLst>
                        </a:prstGeom>
                        <a:noFill/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必要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応じ規定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くだ</w:t>
                            </w:r>
                            <w:r>
                              <w:rPr>
                                <w:rFonts w:hint="default"/>
                                <w:color w:val="FF000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9" style="mso-wrap-distance-right:9pt;mso-wrap-distance-bottom:0pt;margin-top:19.100000000000001pt;mso-position-vertical-relative:text;mso-position-horizontal-relative:text;v-text-anchor:middle;position:absolute;height:27.9pt;mso-wrap-distance-top:0pt;width:203.25pt;mso-wrap-distance-left:9pt;margin-left:229.1pt;z-index:8;" o:spid="_x0000_s1032" o:allowincell="t" o:allowoverlap="t" filled="f" stroked="t" strokecolor="#c00000" strokeweight="1pt" o:spt="47" type="#_x0000_t47" adj="-2776,25784,-435,10487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C0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必要</w:t>
                      </w:r>
                      <w:r>
                        <w:rPr>
                          <w:rFonts w:hint="default"/>
                          <w:color w:val="FF0000"/>
                        </w:rPr>
                        <w:t>に</w:t>
                      </w:r>
                      <w:r>
                        <w:rPr>
                          <w:rFonts w:hint="eastAsia"/>
                          <w:color w:val="FF0000"/>
                        </w:rPr>
                        <w:t>応じ規定</w:t>
                      </w:r>
                      <w:r>
                        <w:rPr>
                          <w:rFonts w:hint="default"/>
                          <w:color w:val="FF0000"/>
                        </w:rPr>
                        <w:t>して</w:t>
                      </w:r>
                      <w:r>
                        <w:rPr>
                          <w:rFonts w:hint="eastAsia"/>
                          <w:color w:val="FF0000"/>
                        </w:rPr>
                        <w:t>くだ</w:t>
                      </w:r>
                      <w:r>
                        <w:rPr>
                          <w:rFonts w:hint="default"/>
                          <w:color w:val="FF0000"/>
                        </w:rPr>
                        <w:t>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>(6)</w:t>
      </w:r>
      <w:r>
        <w:rPr>
          <w:rFonts w:hint="eastAsia" w:ascii="ＭＳ 明朝" w:hAnsi="ＭＳ 明朝" w:eastAsia="ＭＳ 明朝"/>
          <w:color w:val="auto"/>
          <w:sz w:val="24"/>
        </w:rPr>
        <w:t>　その他活動組織の運営に関する重要な事項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（組織委員会の議決方法等）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第７条　組織委員会は、構成員の過半数の出席をもって成立する。なお、出席は、委任状をもって代えることができる。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組織委員会の議長は、代表がこれを務める。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３　組織委員会の議事は、出席者構成員の過半数で決する。なお、賛否同数のときは、議長の決するところによる。</w:t>
      </w:r>
    </w:p>
    <w:p>
      <w:pPr>
        <w:pStyle w:val="0"/>
        <w:ind w:left="220" w:hanging="220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４　組織委員会により決定した事項については、決定事項等を記載した書面を作成するとともに、構成員全員に配布等により確実に周知するものとする。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（資金）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第８条　活動組織の資金は、次に掲げるものとする。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>(1)</w:t>
      </w:r>
      <w:r>
        <w:rPr>
          <w:rFonts w:hint="eastAsia" w:ascii="ＭＳ 明朝" w:hAnsi="ＭＳ 明朝" w:eastAsia="ＭＳ 明朝"/>
          <w:color w:val="auto"/>
          <w:sz w:val="24"/>
        </w:rPr>
        <w:t>　広域組織から割当てられた多面的機能支払交付金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>(2)</w:t>
      </w:r>
      <w:r>
        <w:rPr>
          <w:rFonts w:hint="eastAsia" w:ascii="ＭＳ 明朝" w:hAnsi="ＭＳ 明朝" w:eastAsia="ＭＳ 明朝"/>
          <w:color w:val="auto"/>
          <w:sz w:val="24"/>
        </w:rPr>
        <w:t>　その他の収入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（作業単価等）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第９条　活動組織における作業単価等は、「上郡町環境保全広域組織運営細則」別表を基に、次のとおり定める。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日当等単価</w:t>
      </w:r>
    </w:p>
    <w:tbl>
      <w:tblPr>
        <w:tblStyle w:val="21"/>
        <w:tblW w:w="8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268"/>
        <w:gridCol w:w="2171"/>
        <w:gridCol w:w="2501"/>
        <w:gridCol w:w="1841"/>
      </w:tblGrid>
      <w:tr>
        <w:trPr/>
        <w:tc>
          <w:tcPr>
            <w:tcW w:w="226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単価区分</w:t>
            </w:r>
          </w:p>
        </w:tc>
        <w:tc>
          <w:tcPr>
            <w:tcW w:w="217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単位あたり単価</w:t>
            </w:r>
          </w:p>
        </w:tc>
        <w:tc>
          <w:tcPr>
            <w:tcW w:w="250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日あたり上限額</w:t>
            </w:r>
          </w:p>
        </w:tc>
        <w:tc>
          <w:tcPr>
            <w:tcW w:w="184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備　　考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●円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時間</w:t>
            </w:r>
          </w:p>
        </w:tc>
        <w:tc>
          <w:tcPr>
            <w:tcW w:w="2501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●円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日</w:t>
            </w:r>
          </w:p>
        </w:tc>
        <w:tc>
          <w:tcPr>
            <w:tcW w:w="184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●円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回</w:t>
            </w:r>
          </w:p>
        </w:tc>
        <w:tc>
          <w:tcPr>
            <w:tcW w:w="2501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●円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日</w:t>
            </w:r>
          </w:p>
        </w:tc>
        <w:tc>
          <w:tcPr>
            <w:tcW w:w="184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</w:p>
    <w:p>
      <w:pPr>
        <w:pStyle w:val="0"/>
        <w:ind w:firstLine="259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機械等借上代</w:t>
      </w:r>
    </w:p>
    <w:tbl>
      <w:tblPr>
        <w:tblStyle w:val="21"/>
        <w:tblW w:w="8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268"/>
        <w:gridCol w:w="2171"/>
        <w:gridCol w:w="2501"/>
        <w:gridCol w:w="1841"/>
      </w:tblGrid>
      <w:tr>
        <w:trPr/>
        <w:tc>
          <w:tcPr>
            <w:tcW w:w="226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単価区分</w:t>
            </w:r>
          </w:p>
        </w:tc>
        <w:tc>
          <w:tcPr>
            <w:tcW w:w="217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単位あたり単価</w:t>
            </w:r>
          </w:p>
        </w:tc>
        <w:tc>
          <w:tcPr>
            <w:tcW w:w="250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日あたり上限額</w:t>
            </w:r>
          </w:p>
        </w:tc>
        <w:tc>
          <w:tcPr>
            <w:tcW w:w="184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備　　考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●円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時間</w:t>
            </w:r>
          </w:p>
        </w:tc>
        <w:tc>
          <w:tcPr>
            <w:tcW w:w="2501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●円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日</w:t>
            </w:r>
          </w:p>
        </w:tc>
        <w:tc>
          <w:tcPr>
            <w:tcW w:w="184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●円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回</w:t>
            </w:r>
          </w:p>
        </w:tc>
        <w:tc>
          <w:tcPr>
            <w:tcW w:w="2501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●円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/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日</w:t>
            </w:r>
          </w:p>
        </w:tc>
        <w:tc>
          <w:tcPr>
            <w:tcW w:w="184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（書類の保管）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第</w:t>
      </w:r>
      <w:r>
        <w:rPr>
          <w:rFonts w:hint="eastAsia" w:ascii="ＭＳ 明朝" w:hAnsi="ＭＳ 明朝" w:eastAsia="ＭＳ 明朝"/>
          <w:color w:val="auto"/>
          <w:sz w:val="24"/>
        </w:rPr>
        <w:t>10</w:t>
      </w:r>
      <w:r>
        <w:rPr>
          <w:rFonts w:hint="eastAsia" w:ascii="ＭＳ 明朝" w:hAnsi="ＭＳ 明朝" w:eastAsia="ＭＳ 明朝"/>
          <w:color w:val="auto"/>
          <w:sz w:val="24"/>
        </w:rPr>
        <w:t>条　活動組織は、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協定または</w:t>
      </w:r>
      <w:r>
        <w:rPr>
          <w:rFonts w:hint="eastAsia" w:ascii="ＭＳ 明朝" w:hAnsi="ＭＳ 明朝" w:eastAsia="ＭＳ 明朝"/>
          <w:color w:val="auto"/>
          <w:sz w:val="24"/>
        </w:rPr>
        <w:t>認定期間における活動に関する書類について、協定または認定期間終了年度の翌年から起算し５年間保存することとする。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777" w:firstLineChars="3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附　則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この内規は、令和○年４月１日から施行する。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AndChars" w:linePitch="383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8"/>
  <w:drawingGridVertic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2485</TotalTime>
  <Pages>3</Pages>
  <Words>22</Words>
  <Characters>1570</Characters>
  <Application>JUST Note</Application>
  <Lines>118</Lines>
  <Paragraphs>82</Paragraphs>
  <CharactersWithSpaces>1636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柘原 一男</dc:creator>
  <cp:lastModifiedBy>前田 一弘</cp:lastModifiedBy>
  <cp:lastPrinted>2021-03-04T07:30:01Z</cp:lastPrinted>
  <dcterms:created xsi:type="dcterms:W3CDTF">2017-03-13T01:41:00Z</dcterms:created>
  <dcterms:modified xsi:type="dcterms:W3CDTF">2021-12-01T06:33:34Z</dcterms:modified>
  <cp:revision>31</cp:revision>
</cp:coreProperties>
</file>